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 w:cs="宋体" w:hint="eastAsia"/>
          <w:b/>
          <w:sz w:val="48"/>
          <w:szCs w:val="48"/>
        </w:rPr>
      </w:pPr>
      <w:r w:rsidRPr="006867CA">
        <w:rPr>
          <w:rFonts w:asciiTheme="minorEastAsia" w:hAnsiTheme="minorEastAsia" w:cs="方正小标宋简体" w:hint="eastAsia"/>
          <w:b/>
          <w:sz w:val="48"/>
          <w:szCs w:val="48"/>
        </w:rPr>
        <w:t>广州市增城区</w:t>
      </w:r>
      <w:r w:rsidRPr="006867CA">
        <w:rPr>
          <w:rFonts w:asciiTheme="minorEastAsia" w:hAnsiTheme="minorEastAsia" w:cs="宋体" w:hint="eastAsia"/>
          <w:b/>
          <w:sz w:val="48"/>
          <w:szCs w:val="48"/>
        </w:rPr>
        <w:t>属国</w:t>
      </w:r>
      <w:r w:rsidRPr="006867CA">
        <w:rPr>
          <w:rFonts w:asciiTheme="minorEastAsia" w:hAnsiTheme="minorEastAsia" w:cs="___WRD_EMBED_SUB_38" w:hint="eastAsia"/>
          <w:b/>
          <w:sz w:val="48"/>
          <w:szCs w:val="48"/>
        </w:rPr>
        <w:t>有</w:t>
      </w:r>
      <w:r w:rsidRPr="006867CA">
        <w:rPr>
          <w:rFonts w:asciiTheme="minorEastAsia" w:hAnsiTheme="minorEastAsia" w:cs="宋体" w:hint="eastAsia"/>
          <w:b/>
          <w:sz w:val="48"/>
          <w:szCs w:val="48"/>
        </w:rPr>
        <w:t>企业情况</w:t>
      </w:r>
      <w:r w:rsidRPr="006867CA">
        <w:rPr>
          <w:rFonts w:asciiTheme="minorEastAsia" w:hAnsiTheme="minorEastAsia" w:cs="___WRD_EMBED_SUB_38" w:hint="eastAsia"/>
          <w:b/>
          <w:sz w:val="48"/>
          <w:szCs w:val="48"/>
        </w:rPr>
        <w:t>介</w:t>
      </w:r>
      <w:r w:rsidRPr="006867CA">
        <w:rPr>
          <w:rFonts w:asciiTheme="minorEastAsia" w:hAnsiTheme="minorEastAsia" w:cs="宋体" w:hint="eastAsia"/>
          <w:b/>
          <w:sz w:val="48"/>
          <w:szCs w:val="48"/>
        </w:rPr>
        <w:t>绍</w:t>
      </w:r>
    </w:p>
    <w:p w:rsidR="00042514" w:rsidRDefault="00042514" w:rsidP="00042514">
      <w:pPr>
        <w:spacing w:line="540" w:lineRule="exact"/>
        <w:jc w:val="center"/>
        <w:rPr>
          <w:rFonts w:asciiTheme="minorEastAsia" w:hAnsiTheme="minorEastAsia" w:cs="宋体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 w:cs="宋体" w:hint="eastAsia"/>
          <w:sz w:val="28"/>
          <w:szCs w:val="28"/>
        </w:rPr>
      </w:pPr>
    </w:p>
    <w:p w:rsidR="00042514" w:rsidRDefault="00042514" w:rsidP="00042514">
      <w:pPr>
        <w:spacing w:line="540" w:lineRule="exact"/>
        <w:jc w:val="center"/>
        <w:rPr>
          <w:rFonts w:asciiTheme="minorEastAsia" w:hAnsiTheme="minorEastAsia" w:hint="eastAsia"/>
          <w:b/>
          <w:sz w:val="32"/>
          <w:szCs w:val="32"/>
        </w:rPr>
      </w:pPr>
      <w:r w:rsidRPr="006867CA">
        <w:rPr>
          <w:rFonts w:asciiTheme="minorEastAsia" w:hAnsiTheme="minorEastAsia" w:cs="方正小标宋简体" w:hint="eastAsia"/>
          <w:b/>
          <w:sz w:val="32"/>
          <w:szCs w:val="32"/>
        </w:rPr>
        <w:t>广州市增城区城市建设投资</w:t>
      </w:r>
      <w:r w:rsidRPr="006867CA">
        <w:rPr>
          <w:rFonts w:asciiTheme="minorEastAsia" w:hAnsiTheme="minorEastAsia" w:hint="eastAsia"/>
          <w:b/>
          <w:sz w:val="32"/>
          <w:szCs w:val="32"/>
        </w:rPr>
        <w:t>集团有限公司</w:t>
      </w:r>
      <w:r>
        <w:rPr>
          <w:rFonts w:asciiTheme="minorEastAsia" w:hAnsiTheme="minorEastAsia" w:hint="eastAsia"/>
          <w:b/>
          <w:sz w:val="32"/>
          <w:szCs w:val="32"/>
        </w:rPr>
        <w:t>简介</w:t>
      </w:r>
    </w:p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/>
          <w:b/>
          <w:sz w:val="32"/>
          <w:szCs w:val="32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/>
          <w:sz w:val="28"/>
          <w:szCs w:val="28"/>
          <w:lang w:bidi="zh-TW"/>
        </w:rPr>
      </w:pPr>
      <w:r w:rsidRPr="006867CA">
        <w:rPr>
          <w:rFonts w:asciiTheme="minorEastAsia" w:hAnsiTheme="minorEastAsia" w:cs="仿宋_GB2312" w:hint="eastAsia"/>
          <w:sz w:val="28"/>
          <w:szCs w:val="28"/>
        </w:rPr>
        <w:t xml:space="preserve">    广州市增城区城市建设投资集团有限公司（简称增城</w:t>
      </w:r>
      <w:proofErr w:type="gramStart"/>
      <w:r w:rsidRPr="006867CA">
        <w:rPr>
          <w:rFonts w:asciiTheme="minorEastAsia" w:hAnsiTheme="minorEastAsia" w:cs="仿宋_GB2312" w:hint="eastAsia"/>
          <w:sz w:val="28"/>
          <w:szCs w:val="28"/>
        </w:rPr>
        <w:t>城</w:t>
      </w:r>
      <w:proofErr w:type="gramEnd"/>
      <w:r w:rsidRPr="006867CA">
        <w:rPr>
          <w:rFonts w:asciiTheme="minorEastAsia" w:hAnsiTheme="minorEastAsia" w:cs="仿宋_GB2312" w:hint="eastAsia"/>
          <w:sz w:val="28"/>
          <w:szCs w:val="28"/>
        </w:rPr>
        <w:t>投）是经增城区委区政府批准，于2020年7月组建的区属国有企业集团。</w:t>
      </w:r>
      <w:r w:rsidRPr="006867CA">
        <w:rPr>
          <w:rFonts w:asciiTheme="minorEastAsia" w:hAnsiTheme="minorEastAsia" w:cs="仿宋_GB2312" w:hint="eastAsia"/>
          <w:bCs/>
          <w:sz w:val="28"/>
          <w:szCs w:val="28"/>
        </w:rPr>
        <w:t>增城</w:t>
      </w:r>
      <w:proofErr w:type="gramStart"/>
      <w:r w:rsidRPr="006867CA">
        <w:rPr>
          <w:rFonts w:asciiTheme="minorEastAsia" w:hAnsiTheme="minorEastAsia" w:cs="仿宋_GB2312" w:hint="eastAsia"/>
          <w:bCs/>
          <w:sz w:val="28"/>
          <w:szCs w:val="28"/>
        </w:rPr>
        <w:t>城投注册</w:t>
      </w:r>
      <w:proofErr w:type="gramEnd"/>
      <w:r w:rsidRPr="006867CA">
        <w:rPr>
          <w:rFonts w:asciiTheme="minorEastAsia" w:hAnsiTheme="minorEastAsia" w:cs="仿宋_GB2312" w:hint="eastAsia"/>
          <w:bCs/>
          <w:sz w:val="28"/>
          <w:szCs w:val="28"/>
        </w:rPr>
        <w:t>资本200亿元，设置9个职能部门，旗下全资及控股企业27家（其中二级企业13家，三级企业14家），总资产规模约441亿元，职工总人数超过1000人</w:t>
      </w:r>
      <w:r w:rsidRPr="006867CA">
        <w:rPr>
          <w:rFonts w:asciiTheme="minorEastAsia" w:hAnsiTheme="minorEastAsia" w:cs="仿宋_GB2312" w:hint="eastAsia"/>
          <w:sz w:val="28"/>
          <w:szCs w:val="28"/>
        </w:rPr>
        <w:t>。</w:t>
      </w:r>
      <w:r w:rsidRPr="006867CA">
        <w:rPr>
          <w:rFonts w:asciiTheme="minorEastAsia" w:hAnsiTheme="minorEastAsia"/>
          <w:sz w:val="28"/>
          <w:szCs w:val="28"/>
        </w:rPr>
        <w:t>城投集团定位为准公共性国企</w:t>
      </w:r>
      <w:r w:rsidRPr="006867CA">
        <w:rPr>
          <w:rFonts w:asciiTheme="minorEastAsia" w:hAnsiTheme="minorEastAsia" w:hint="eastAsia"/>
          <w:sz w:val="28"/>
          <w:szCs w:val="28"/>
        </w:rPr>
        <w:t>、</w:t>
      </w:r>
      <w:r w:rsidRPr="006867CA">
        <w:rPr>
          <w:rFonts w:asciiTheme="minorEastAsia" w:hAnsiTheme="minorEastAsia"/>
          <w:sz w:val="28"/>
          <w:szCs w:val="28"/>
        </w:rPr>
        <w:t>城市综合运营服务商</w:t>
      </w:r>
      <w:r w:rsidRPr="006867CA">
        <w:rPr>
          <w:rFonts w:asciiTheme="minorEastAsia" w:hAnsiTheme="minorEastAsia" w:hint="eastAsia"/>
          <w:sz w:val="28"/>
          <w:szCs w:val="28"/>
        </w:rPr>
        <w:t>，</w:t>
      </w:r>
      <w:r w:rsidRPr="006867CA">
        <w:rPr>
          <w:rFonts w:asciiTheme="minorEastAsia" w:hAnsiTheme="minorEastAsia"/>
          <w:sz w:val="28"/>
          <w:szCs w:val="28"/>
        </w:rPr>
        <w:t>主营业务涵盖公用事业、土地开发、工程建设、城市</w:t>
      </w:r>
      <w:proofErr w:type="gramStart"/>
      <w:r w:rsidRPr="006867CA">
        <w:rPr>
          <w:rFonts w:asciiTheme="minorEastAsia" w:hAnsiTheme="minorEastAsia"/>
          <w:sz w:val="28"/>
          <w:szCs w:val="28"/>
        </w:rPr>
        <w:t>运营四</w:t>
      </w:r>
      <w:proofErr w:type="gramEnd"/>
      <w:r w:rsidRPr="006867CA">
        <w:rPr>
          <w:rFonts w:asciiTheme="minorEastAsia" w:hAnsiTheme="minorEastAsia"/>
          <w:sz w:val="28"/>
          <w:szCs w:val="28"/>
        </w:rPr>
        <w:t>大板块，</w:t>
      </w:r>
      <w:r w:rsidRPr="006867CA">
        <w:rPr>
          <w:rFonts w:asciiTheme="minorEastAsia" w:hAnsiTheme="minorEastAsia" w:hint="eastAsia"/>
          <w:sz w:val="28"/>
          <w:szCs w:val="28"/>
        </w:rPr>
        <w:t>具体</w:t>
      </w:r>
      <w:r w:rsidRPr="006867CA">
        <w:rPr>
          <w:rFonts w:asciiTheme="minorEastAsia" w:hAnsiTheme="minorEastAsia"/>
          <w:sz w:val="28"/>
          <w:szCs w:val="28"/>
        </w:rPr>
        <w:t>包括供（排）水、污水处理、环卫、交通、能源、工程建设、物业经营、产业园区建设、城市更新以及政策性功能性房地产等。</w:t>
      </w:r>
    </w:p>
    <w:p w:rsidR="00042514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Default="00042514" w:rsidP="00042514">
      <w:pPr>
        <w:spacing w:line="540" w:lineRule="exact"/>
        <w:jc w:val="center"/>
        <w:rPr>
          <w:rFonts w:asciiTheme="minorEastAsia" w:hAnsiTheme="minorEastAsia" w:cs="方正小标宋简体" w:hint="eastAsia"/>
          <w:b/>
          <w:sz w:val="32"/>
          <w:szCs w:val="32"/>
        </w:rPr>
      </w:pPr>
      <w:r w:rsidRPr="006867CA">
        <w:rPr>
          <w:rFonts w:asciiTheme="minorEastAsia" w:hAnsiTheme="minorEastAsia" w:cs="方正小标宋简体"/>
          <w:b/>
          <w:sz w:val="32"/>
          <w:szCs w:val="32"/>
        </w:rPr>
        <w:t>广州市增城区产业投资集团有限公司</w:t>
      </w:r>
      <w:r>
        <w:rPr>
          <w:rFonts w:asciiTheme="minorEastAsia" w:hAnsiTheme="minorEastAsia" w:cs="方正小标宋简体" w:hint="eastAsia"/>
          <w:b/>
          <w:sz w:val="32"/>
          <w:szCs w:val="32"/>
        </w:rPr>
        <w:t>简介</w:t>
      </w:r>
    </w:p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 w:cs="方正小标宋简体"/>
          <w:b/>
          <w:sz w:val="32"/>
          <w:szCs w:val="32"/>
        </w:rPr>
      </w:pPr>
    </w:p>
    <w:p w:rsidR="00042514" w:rsidRPr="006867CA" w:rsidRDefault="00042514" w:rsidP="00042514">
      <w:pPr>
        <w:pStyle w:val="a5"/>
        <w:widowControl/>
        <w:shd w:val="clear" w:color="auto" w:fill="FFFFFF"/>
        <w:spacing w:beforeAutospacing="0" w:afterAutospacing="0"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广州市增城区产业投资集团有限公司（简称“增城产投”）是经增城区委、区政府批准，于2020年7月改组成立的功能性国企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，承担了优势产业导入促进、国有资本运作管理、区域发展创新服务三大职能，聚焦产业投资与导入、载体建设、资产运营、综合服务等核心能力，致力成为粤港澳大湾区领先的产业投资运营平台。公司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注册资本100亿元，总资产规模约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2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30.5亿元，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主体信用评级为</w:t>
      </w:r>
      <w:r w:rsidRPr="006867CA">
        <w:rPr>
          <w:rFonts w:asciiTheme="minorEastAsia" w:eastAsiaTheme="minorEastAsia" w:hAnsiTheme="minorEastAsia"/>
          <w:sz w:val="28"/>
          <w:szCs w:val="28"/>
        </w:rPr>
        <w:t>AA+</w:t>
      </w:r>
      <w:r w:rsidRPr="006867CA">
        <w:rPr>
          <w:rFonts w:asciiTheme="minorEastAsia" w:eastAsiaTheme="minorEastAsia" w:hAnsiTheme="minorEastAsia" w:hint="eastAsia"/>
          <w:sz w:val="28"/>
          <w:szCs w:val="28"/>
        </w:rPr>
        <w:t>。</w:t>
      </w:r>
    </w:p>
    <w:p w:rsidR="00042514" w:rsidRPr="006867CA" w:rsidRDefault="00042514" w:rsidP="00042514">
      <w:pPr>
        <w:pStyle w:val="a5"/>
        <w:widowControl/>
        <w:shd w:val="clear" w:color="auto" w:fill="FFFFFF"/>
        <w:spacing w:beforeAutospacing="0" w:afterAutospacing="0"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  <w:shd w:val="clear" w:color="auto" w:fill="FFFFFF"/>
        </w:rPr>
      </w:pP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lastRenderedPageBreak/>
        <w:t>公司的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主营业务包括园区开发、产业配套、产业服务、股权投资、市场化投资业务等。其中，“园区开发”包括增城开发区和增城区其他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产业园区综合开发与运营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；“产业配套”包括供应链、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融资租赁、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酒店和服务公寓、园区配套商业、高端商务综合体开发、物业服务等；“产业服务”包括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产业研究咨询、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产业信息搜集、渠道建设、产业导入、产业落地执行、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企业融资服务、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企业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筹建</w:t>
      </w:r>
      <w:r w:rsidRPr="006867CA">
        <w:rPr>
          <w:rFonts w:asciiTheme="minorEastAsia" w:eastAsiaTheme="minorEastAsia" w:hAnsiTheme="minorEastAsia"/>
          <w:sz w:val="28"/>
          <w:szCs w:val="28"/>
          <w:shd w:val="clear" w:color="auto" w:fill="FFFFFF"/>
        </w:rPr>
        <w:t>服务、人才服务等；“股权投资”包括创新孵化、创业投资、高新技术实业投资等；“市场化投资”</w:t>
      </w:r>
      <w:r w:rsidRPr="006867CA">
        <w:rPr>
          <w:rFonts w:asciiTheme="minorEastAsia" w:eastAsiaTheme="minorEastAsia" w:hAnsiTheme="minorEastAsia" w:hint="eastAsia"/>
          <w:sz w:val="28"/>
          <w:szCs w:val="28"/>
          <w:shd w:val="clear" w:color="auto" w:fill="FFFFFF"/>
        </w:rPr>
        <w:t>包括FOF、S基金、股权直投等各类市场化投资业务。</w:t>
      </w:r>
    </w:p>
    <w:p w:rsidR="00042514" w:rsidRPr="006867CA" w:rsidRDefault="00042514" w:rsidP="00042514">
      <w:pPr>
        <w:rPr>
          <w:rFonts w:asciiTheme="minorEastAsia" w:hAnsiTheme="minor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 w:cs="方正小标宋简体" w:hint="eastAsia"/>
          <w:b/>
          <w:sz w:val="32"/>
          <w:szCs w:val="32"/>
        </w:rPr>
      </w:pPr>
      <w:r w:rsidRPr="006867CA">
        <w:rPr>
          <w:rFonts w:asciiTheme="minorEastAsia" w:hAnsiTheme="minorEastAsia" w:cs="方正小标宋简体" w:hint="eastAsia"/>
          <w:b/>
          <w:sz w:val="32"/>
          <w:szCs w:val="32"/>
        </w:rPr>
        <w:t>广州市增城区国有资产经营集团有限公司</w:t>
      </w:r>
      <w:r>
        <w:rPr>
          <w:rFonts w:asciiTheme="minorEastAsia" w:hAnsiTheme="minorEastAsia" w:cs="方正小标宋简体" w:hint="eastAsia"/>
          <w:b/>
          <w:sz w:val="32"/>
          <w:szCs w:val="32"/>
        </w:rPr>
        <w:t>简介</w:t>
      </w:r>
    </w:p>
    <w:p w:rsidR="00042514" w:rsidRPr="006867CA" w:rsidRDefault="00042514" w:rsidP="00042514">
      <w:pPr>
        <w:spacing w:line="570" w:lineRule="exact"/>
        <w:ind w:firstLineChars="200" w:firstLine="560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7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6867CA">
        <w:rPr>
          <w:rFonts w:asciiTheme="minorEastAsia" w:hAnsiTheme="minorEastAsia" w:cs="仿宋_GB2312" w:hint="eastAsia"/>
          <w:sz w:val="28"/>
          <w:szCs w:val="28"/>
        </w:rPr>
        <w:t>广州市增城区国有资产经营集团有限公司（简称增城资产集团）于2021年5月31日挂牌成立。目前，增城资产集团管理下属二、三级企业50余户，管理资产近40亿元。集团定位为功能性国企集团，重点聚焦全区存量资产运营管理及历史遗留问题处理，通过国有资本的合理流动和有序进退，提升国有资本运营效率、提高国有资本回报，着力国资结构调整、布局优化推进国企深化改革，维护资本安全，打造资本运作平台及国资处置进退平台。未来根据需要，可改制成为“国有资本投资运营公司”赋予更大使命。</w:t>
      </w: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jc w:val="center"/>
        <w:rPr>
          <w:rFonts w:asciiTheme="minorEastAsia" w:hAnsiTheme="minorEastAsia" w:cs="方正小标宋简体"/>
          <w:b/>
          <w:sz w:val="32"/>
          <w:szCs w:val="32"/>
        </w:rPr>
      </w:pPr>
      <w:r w:rsidRPr="006867CA">
        <w:rPr>
          <w:rFonts w:asciiTheme="minorEastAsia" w:hAnsiTheme="minorEastAsia" w:cs="方正小标宋简体" w:hint="eastAsia"/>
          <w:b/>
          <w:sz w:val="32"/>
          <w:szCs w:val="32"/>
        </w:rPr>
        <w:t>广州增城现代农业投资发展集团有限公司简介</w:t>
      </w:r>
    </w:p>
    <w:p w:rsidR="00042514" w:rsidRPr="006867CA" w:rsidRDefault="00042514" w:rsidP="00042514">
      <w:pPr>
        <w:rPr>
          <w:rFonts w:asciiTheme="minorEastAsia" w:hAnsiTheme="minorEastAsia"/>
          <w:sz w:val="28"/>
          <w:szCs w:val="28"/>
        </w:rPr>
      </w:pPr>
    </w:p>
    <w:p w:rsidR="00042514" w:rsidRPr="006867CA" w:rsidRDefault="00042514" w:rsidP="00042514">
      <w:pPr>
        <w:rPr>
          <w:rFonts w:asciiTheme="minorEastAsia" w:hAnsiTheme="minorEastAsia"/>
          <w:sz w:val="28"/>
          <w:szCs w:val="28"/>
        </w:rPr>
      </w:pPr>
      <w:r w:rsidRPr="006867CA">
        <w:rPr>
          <w:rFonts w:asciiTheme="minorEastAsia" w:hAnsiTheme="minorEastAsia"/>
          <w:sz w:val="28"/>
          <w:szCs w:val="28"/>
        </w:rPr>
        <w:t>广州增城现代农业投资发展集团有限公司(简称“增城农投”)是经</w:t>
      </w:r>
      <w:r w:rsidRPr="006867CA">
        <w:rPr>
          <w:rFonts w:asciiTheme="minorEastAsia" w:hAnsiTheme="minorEastAsia"/>
          <w:sz w:val="28"/>
          <w:szCs w:val="28"/>
        </w:rPr>
        <w:lastRenderedPageBreak/>
        <w:t>增城区委、区政府批准设立的区属国有独资企业集团，2022年6月挂牌成立，注册资本50亿元。增城农投定位为功能性国企，承担促进农业产业升级、推动乡村建设运营、国有资产保值增值三大职责，下属有粮食储备管理、优质米基地、万家旅舍、朱村农投、农产投资咨询、乡村建设、供应链、林业投资等二级企业8家，总资产约15亿元，年营业收入超9亿元。</w:t>
      </w:r>
    </w:p>
    <w:p w:rsidR="00042514" w:rsidRPr="006867CA" w:rsidRDefault="00042514" w:rsidP="00042514">
      <w:pPr>
        <w:rPr>
          <w:rFonts w:asciiTheme="minorEastAsia" w:hAnsiTheme="minorEastAsia"/>
          <w:sz w:val="28"/>
          <w:szCs w:val="28"/>
        </w:rPr>
      </w:pPr>
      <w:r w:rsidRPr="006867CA">
        <w:rPr>
          <w:rFonts w:asciiTheme="minorEastAsia" w:hAnsiTheme="minorEastAsia"/>
          <w:sz w:val="28"/>
          <w:szCs w:val="28"/>
        </w:rPr>
        <w:t>增城农投以“引领农业农村现代化发展的国有资本投资公司”为战略定位，以平台化、市场化、科技化、资本化为发展理念，着力构建现代农业产业园、农产品流通、涉农金融、乡村旅游、农业技术人才综合服务等五大业务，努力打造成为大湾区领先、全国知名的现代化农业农村服务运营商。</w:t>
      </w: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 w:hint="eastAsia"/>
          <w:sz w:val="28"/>
          <w:szCs w:val="28"/>
        </w:rPr>
      </w:pPr>
    </w:p>
    <w:p w:rsidR="00042514" w:rsidRPr="006867CA" w:rsidRDefault="00042514" w:rsidP="00042514">
      <w:pPr>
        <w:jc w:val="center"/>
        <w:rPr>
          <w:rFonts w:asciiTheme="minorEastAsia" w:hAnsiTheme="minorEastAsia" w:cs="方正小标宋简体"/>
          <w:b/>
          <w:sz w:val="32"/>
          <w:szCs w:val="32"/>
        </w:rPr>
      </w:pPr>
      <w:r w:rsidRPr="006867CA">
        <w:rPr>
          <w:rFonts w:asciiTheme="minorEastAsia" w:hAnsiTheme="minorEastAsia" w:cs="方正小标宋简体" w:hint="eastAsia"/>
          <w:b/>
          <w:sz w:val="32"/>
          <w:szCs w:val="32"/>
        </w:rPr>
        <w:t>广州南粤基金集团有限公司简介</w:t>
      </w:r>
    </w:p>
    <w:p w:rsidR="00042514" w:rsidRPr="006867CA" w:rsidRDefault="00042514" w:rsidP="00042514">
      <w:pPr>
        <w:spacing w:line="580" w:lineRule="exact"/>
        <w:ind w:firstLineChars="200" w:firstLine="560"/>
        <w:rPr>
          <w:rFonts w:asciiTheme="minorEastAsia" w:hAnsiTheme="minorEastAsia" w:cs="仿宋"/>
          <w:sz w:val="28"/>
          <w:szCs w:val="28"/>
        </w:rPr>
      </w:pPr>
    </w:p>
    <w:p w:rsidR="00042514" w:rsidRPr="006867CA" w:rsidRDefault="00042514" w:rsidP="00042514">
      <w:pPr>
        <w:spacing w:line="560" w:lineRule="exact"/>
        <w:ind w:firstLineChars="200" w:firstLine="560"/>
        <w:rPr>
          <w:rFonts w:asciiTheme="minorEastAsia" w:hAnsiTheme="minorEastAsia" w:cs="仿宋"/>
          <w:sz w:val="28"/>
          <w:szCs w:val="28"/>
        </w:rPr>
      </w:pPr>
      <w:r w:rsidRPr="006867CA">
        <w:rPr>
          <w:rFonts w:asciiTheme="minorEastAsia" w:hAnsiTheme="minorEastAsia" w:cs="仿宋" w:hint="eastAsia"/>
          <w:sz w:val="28"/>
          <w:szCs w:val="28"/>
        </w:rPr>
        <w:t>广州南粤基金集团有限公司（简称“南粤基金”），成立于2014年11月，是广州市和增城区为放大政府财政资金杠杆效应、激活社会资本投资、推进产业转型升级、促进社会经济发展而成立的国有创新型基金管理平台。成立以来，南粤基金担任广州改革开放以来最大单笔投资的先进制造业项目——总投资610亿元的超视界10.5代8K显示器全生态产业园项目财务顾问，投资建设总规模112亿元的广州</w:t>
      </w:r>
      <w:proofErr w:type="gramStart"/>
      <w:r w:rsidRPr="006867CA">
        <w:rPr>
          <w:rFonts w:asciiTheme="minorEastAsia" w:hAnsiTheme="minorEastAsia" w:cs="仿宋" w:hint="eastAsia"/>
          <w:sz w:val="28"/>
          <w:szCs w:val="28"/>
        </w:rPr>
        <w:t>首条全柔</w:t>
      </w:r>
      <w:proofErr w:type="gramEnd"/>
      <w:r w:rsidRPr="006867CA">
        <w:rPr>
          <w:rFonts w:asciiTheme="minorEastAsia" w:hAnsiTheme="minorEastAsia" w:cs="仿宋" w:hint="eastAsia"/>
          <w:sz w:val="28"/>
          <w:szCs w:val="28"/>
        </w:rPr>
        <w:t>AMOLED模组生产线并提供全方位综合金融服务，发起设立国内管理规模最大的智能科技产业投资基金——总规模100.05亿元</w:t>
      </w:r>
      <w:r w:rsidRPr="006867CA">
        <w:rPr>
          <w:rFonts w:asciiTheme="minorEastAsia" w:hAnsiTheme="minorEastAsia" w:cs="仿宋" w:hint="eastAsia"/>
          <w:sz w:val="28"/>
          <w:szCs w:val="28"/>
        </w:rPr>
        <w:lastRenderedPageBreak/>
        <w:t>的广银南粤智能科技产业投资基金以及60亿元的新型显示基金。设立广州注册资本最大的区级政府性融资担保机构——广州</w:t>
      </w:r>
      <w:proofErr w:type="gramStart"/>
      <w:r w:rsidRPr="006867CA">
        <w:rPr>
          <w:rFonts w:asciiTheme="minorEastAsia" w:hAnsiTheme="minorEastAsia" w:cs="仿宋" w:hint="eastAsia"/>
          <w:sz w:val="28"/>
          <w:szCs w:val="28"/>
        </w:rPr>
        <w:t>南粤国</w:t>
      </w:r>
      <w:proofErr w:type="gramEnd"/>
      <w:r w:rsidRPr="006867CA">
        <w:rPr>
          <w:rFonts w:asciiTheme="minorEastAsia" w:hAnsiTheme="minorEastAsia" w:cs="仿宋" w:hint="eastAsia"/>
          <w:sz w:val="28"/>
          <w:szCs w:val="28"/>
        </w:rPr>
        <w:t>投融资担保有限公司，全面运营广州市五大金融功能区之一——广州中小</w:t>
      </w:r>
      <w:proofErr w:type="gramStart"/>
      <w:r w:rsidRPr="006867CA">
        <w:rPr>
          <w:rFonts w:asciiTheme="minorEastAsia" w:hAnsiTheme="minorEastAsia" w:cs="仿宋" w:hint="eastAsia"/>
          <w:sz w:val="28"/>
          <w:szCs w:val="28"/>
        </w:rPr>
        <w:t>微企业</w:t>
      </w:r>
      <w:proofErr w:type="gramEnd"/>
      <w:r w:rsidRPr="006867CA">
        <w:rPr>
          <w:rFonts w:asciiTheme="minorEastAsia" w:hAnsiTheme="minorEastAsia" w:cs="仿宋" w:hint="eastAsia"/>
          <w:sz w:val="28"/>
          <w:szCs w:val="28"/>
        </w:rPr>
        <w:t>金融服务区。目前，南粤基金实现基金管理和顾问规模超过800亿元，签约基金规模超过2000亿元，跻身广东私</w:t>
      </w:r>
      <w:proofErr w:type="gramStart"/>
      <w:r w:rsidRPr="006867CA">
        <w:rPr>
          <w:rFonts w:asciiTheme="minorEastAsia" w:hAnsiTheme="minorEastAsia" w:cs="仿宋" w:hint="eastAsia"/>
          <w:sz w:val="28"/>
          <w:szCs w:val="28"/>
        </w:rPr>
        <w:t>募股权基金</w:t>
      </w:r>
      <w:proofErr w:type="gramEnd"/>
      <w:r w:rsidRPr="006867CA">
        <w:rPr>
          <w:rFonts w:asciiTheme="minorEastAsia" w:hAnsiTheme="minorEastAsia" w:cs="仿宋" w:hint="eastAsia"/>
          <w:sz w:val="28"/>
          <w:szCs w:val="28"/>
        </w:rPr>
        <w:t>行业管理规模前列。</w:t>
      </w:r>
    </w:p>
    <w:p w:rsidR="00042514" w:rsidRPr="006867CA" w:rsidRDefault="00042514" w:rsidP="00042514">
      <w:pPr>
        <w:spacing w:line="560" w:lineRule="exact"/>
        <w:rPr>
          <w:rFonts w:asciiTheme="minorEastAsia" w:hAnsiTheme="minorEastAsia"/>
          <w:sz w:val="28"/>
          <w:szCs w:val="28"/>
        </w:rPr>
      </w:pPr>
    </w:p>
    <w:p w:rsidR="00042514" w:rsidRPr="006867CA" w:rsidRDefault="00042514" w:rsidP="00042514">
      <w:pPr>
        <w:spacing w:line="540" w:lineRule="exact"/>
        <w:rPr>
          <w:rFonts w:asciiTheme="minorEastAsia" w:hAnsiTheme="minorEastAsia" w:cs="仿宋_GB2312"/>
          <w:sz w:val="28"/>
          <w:szCs w:val="28"/>
        </w:rPr>
      </w:pPr>
    </w:p>
    <w:p w:rsidR="00042514" w:rsidRPr="00042514" w:rsidRDefault="00042514" w:rsidP="00042514">
      <w:bookmarkStart w:id="0" w:name="_GoBack"/>
      <w:bookmarkEnd w:id="0"/>
    </w:p>
    <w:sectPr w:rsidR="00042514" w:rsidRPr="000425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3D5" w:rsidRDefault="007973D5" w:rsidP="00042514">
      <w:r>
        <w:separator/>
      </w:r>
    </w:p>
  </w:endnote>
  <w:endnote w:type="continuationSeparator" w:id="0">
    <w:p w:rsidR="007973D5" w:rsidRDefault="007973D5" w:rsidP="00042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___WRD_EMBED_SUB_38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3D5" w:rsidRDefault="007973D5" w:rsidP="00042514">
      <w:r>
        <w:separator/>
      </w:r>
    </w:p>
  </w:footnote>
  <w:footnote w:type="continuationSeparator" w:id="0">
    <w:p w:rsidR="007973D5" w:rsidRDefault="007973D5" w:rsidP="000425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12B"/>
    <w:rsid w:val="00042514"/>
    <w:rsid w:val="007973D5"/>
    <w:rsid w:val="009110B6"/>
    <w:rsid w:val="00970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51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425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4251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425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42514"/>
    <w:rPr>
      <w:sz w:val="18"/>
      <w:szCs w:val="18"/>
    </w:rPr>
  </w:style>
  <w:style w:type="paragraph" w:styleId="a5">
    <w:name w:val="Normal (Web)"/>
    <w:basedOn w:val="a"/>
    <w:qFormat/>
    <w:rsid w:val="00042514"/>
    <w:pPr>
      <w:spacing w:beforeAutospacing="1" w:afterAutospacing="1"/>
      <w:jc w:val="left"/>
    </w:pPr>
    <w:rPr>
      <w:rFonts w:ascii="Calibri" w:eastAsia="仿宋_GB2312" w:hAnsi="Calibri" w:cs="Times New Roman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51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425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4251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425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42514"/>
    <w:rPr>
      <w:sz w:val="18"/>
      <w:szCs w:val="18"/>
    </w:rPr>
  </w:style>
  <w:style w:type="paragraph" w:styleId="a5">
    <w:name w:val="Normal (Web)"/>
    <w:basedOn w:val="a"/>
    <w:qFormat/>
    <w:rsid w:val="00042514"/>
    <w:pPr>
      <w:spacing w:beforeAutospacing="1" w:afterAutospacing="1"/>
      <w:jc w:val="left"/>
    </w:pPr>
    <w:rPr>
      <w:rFonts w:ascii="Calibri" w:eastAsia="仿宋_GB2312" w:hAnsi="Calibri"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264</Words>
  <Characters>1508</Characters>
  <Application>Microsoft Office Word</Application>
  <DocSecurity>0</DocSecurity>
  <Lines>12</Lines>
  <Paragraphs>3</Paragraphs>
  <ScaleCrop>false</ScaleCrop>
  <Company>微软中国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2023-01-19T11:28:00Z</dcterms:created>
  <dcterms:modified xsi:type="dcterms:W3CDTF">2023-01-19T11:39:00Z</dcterms:modified>
</cp:coreProperties>
</file>